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Б1.О.04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 «Управление проектами»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p>
            <w:pPr>
              <w:jc w:val="center"/>
              <w:spacing w:after="0" w:line="240" w:lineRule="auto"/>
              <w:rPr>
                <w:sz w:val="22"/>
                <w:szCs w:val="22"/>
              </w:rPr>
            </w:pPr>
            <w:r>
              <w:rPr>
                <w:rFonts w:ascii="Times New Roman" w:hAnsi="Times New Roman" w:cs="Times New Roman"/>
                <w:color w:val="#000000"/>
                <w:sz w:val="22"/>
                <w:szCs w:val="22"/>
              </w:rPr>
              <w:t> Системный анализ</w:t>
            </w:r>
          </w:p>
          <w:p>
            <w:pPr>
              <w:jc w:val="center"/>
              <w:spacing w:after="0" w:line="240" w:lineRule="auto"/>
              <w:rPr>
                <w:sz w:val="22"/>
                <w:szCs w:val="22"/>
              </w:rPr>
            </w:pPr>
            <w:r>
              <w:rPr>
                <w:rFonts w:ascii="Times New Roman" w:hAnsi="Times New Roman" w:cs="Times New Roman"/>
                <w:color w:val="#000000"/>
                <w:sz w:val="22"/>
                <w:szCs w:val="22"/>
              </w:rPr>
              <w:t> Статистика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и проекты как средства решения</w:t>
            </w:r>
          </w:p>
          <w:p>
            <w:pPr>
              <w:jc w:val="left"/>
              <w:spacing w:after="0" w:line="240" w:lineRule="auto"/>
              <w:rPr>
                <w:sz w:val="24"/>
                <w:szCs w:val="24"/>
              </w:rPr>
            </w:pPr>
            <w:r>
              <w:rPr>
                <w:rFonts w:ascii="Times New Roman" w:hAnsi="Times New Roman" w:cs="Times New Roman"/>
                <w:color w:val="#000000"/>
                <w:sz w:val="24"/>
                <w:szCs w:val="24"/>
              </w:rPr>
              <w:t>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Проекты в системе функционального     и стратегического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Окружение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отношениями со стейкхолдерами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Команда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проектами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и проекты как средства решения</w:t>
            </w:r>
          </w:p>
          <w:p>
            <w:pPr>
              <w:jc w:val="center"/>
              <w:spacing w:after="0" w:line="240" w:lineRule="auto"/>
              <w:rPr>
                <w:sz w:val="24"/>
                <w:szCs w:val="24"/>
              </w:rPr>
            </w:pPr>
            <w:r>
              <w:rPr>
                <w:rFonts w:ascii="Times New Roman" w:hAnsi="Times New Roman" w:cs="Times New Roman"/>
                <w:b/>
                <w:color w:val="#000000"/>
                <w:sz w:val="24"/>
                <w:szCs w:val="24"/>
              </w:rPr>
              <w:t> управленческих задач</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https://urait.ru/bcode/450707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инвестиционным</w:t>
            </w:r>
            <w:r>
              <w:rPr/>
              <w:t xml:space="preserve"> </w:t>
            </w:r>
            <w:r>
              <w:rPr>
                <w:rFonts w:ascii="Times New Roman" w:hAnsi="Times New Roman" w:cs="Times New Roman"/>
                <w:color w:val="#000000"/>
                <w:sz w:val="24"/>
                <w:szCs w:val="24"/>
              </w:rPr>
              <w:t>проектом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Холодкова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https://urait.ru/bcode/455590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Проектное</w:t>
            </w:r>
            <w:r>
              <w:rPr/>
              <w:t xml:space="preserve"> </w:t>
            </w:r>
            <w:r>
              <w:rPr>
                <w:rFonts w:ascii="Times New Roman" w:hAnsi="Times New Roman" w:cs="Times New Roman"/>
                <w:color w:val="#000000"/>
                <w:sz w:val="24"/>
                <w:szCs w:val="24"/>
              </w:rPr>
              <w:t>финансирование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Лысова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портфелем</w:t>
            </w:r>
            <w:r>
              <w:rPr/>
              <w:t xml:space="preserve"> </w:t>
            </w:r>
            <w:r>
              <w:rPr>
                <w:rFonts w:ascii="Times New Roman" w:hAnsi="Times New Roman" w:cs="Times New Roman"/>
                <w:color w:val="#000000"/>
                <w:sz w:val="24"/>
                <w:szCs w:val="24"/>
              </w:rPr>
              <w:t>проектов</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инструмент</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корпоративной</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https://urait.ru/bcode/451359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83.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2023-2024_ФГОС3++2023_Маг-ОФО-ФиК(УФиИ)(23)_plx_Управление проектами</dc:title>
  <dc:creator>FastReport.NET</dc:creator>
</cp:coreProperties>
</file>